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5187" w14:textId="74820944" w:rsidR="00A44F01" w:rsidRPr="0014632B" w:rsidRDefault="00E45805" w:rsidP="00403A4B">
      <w:pPr>
        <w:jc w:val="center"/>
        <w:rPr>
          <w:rFonts w:asciiTheme="minorHAnsi" w:eastAsia="Times New Roman" w:hAnsiTheme="minorHAnsi" w:cstheme="minorHAnsi"/>
          <w:b/>
          <w:sz w:val="40"/>
          <w:szCs w:val="40"/>
          <w:lang w:val="en-US"/>
        </w:rPr>
      </w:pPr>
      <w:r>
        <w:rPr>
          <w:rFonts w:asciiTheme="minorHAnsi" w:eastAsia="Times New Roman" w:hAnsiTheme="minorHAnsi" w:cstheme="minorHAnsi"/>
          <w:b/>
          <w:sz w:val="40"/>
          <w:szCs w:val="40"/>
          <w:lang w:val="en-US"/>
        </w:rPr>
        <w:t>Olive Oil Delicatessen Awards</w:t>
      </w:r>
    </w:p>
    <w:p w14:paraId="6AAF28C2" w14:textId="67904B3F" w:rsidR="00EE2002" w:rsidRPr="0014632B" w:rsidRDefault="00F064B8" w:rsidP="00DD12E3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val="en-US"/>
        </w:rPr>
      </w:pPr>
      <w:r w:rsidRPr="0014632B">
        <w:rPr>
          <w:rFonts w:asciiTheme="minorHAnsi" w:eastAsia="Times New Roman" w:hAnsiTheme="minorHAnsi" w:cstheme="minorHAnsi"/>
          <w:b/>
          <w:sz w:val="36"/>
          <w:szCs w:val="36"/>
          <w:lang w:val="en-US"/>
        </w:rPr>
        <w:t>World Olive Oil Exhibition 20</w:t>
      </w:r>
      <w:r w:rsidR="00F06267">
        <w:rPr>
          <w:rFonts w:asciiTheme="minorHAnsi" w:eastAsia="Times New Roman" w:hAnsiTheme="minorHAnsi" w:cstheme="minorHAnsi"/>
          <w:b/>
          <w:sz w:val="36"/>
          <w:szCs w:val="36"/>
          <w:lang w:val="en-US"/>
        </w:rPr>
        <w:t>2</w:t>
      </w:r>
      <w:r w:rsidR="00A70432">
        <w:rPr>
          <w:rFonts w:asciiTheme="minorHAnsi" w:eastAsia="Times New Roman" w:hAnsiTheme="minorHAnsi" w:cstheme="minorHAnsi"/>
          <w:b/>
          <w:sz w:val="36"/>
          <w:szCs w:val="36"/>
          <w:lang w:val="en-US"/>
        </w:rPr>
        <w:t>2</w:t>
      </w:r>
    </w:p>
    <w:p w14:paraId="0CD08274" w14:textId="5C9D47C8" w:rsidR="00EE2002" w:rsidRDefault="00F064B8" w:rsidP="00DD12E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R</w:t>
      </w:r>
      <w:r w:rsidRPr="007B24C6">
        <w:rPr>
          <w:rFonts w:asciiTheme="minorHAnsi" w:eastAsia="Times New Roman" w:hAnsiTheme="minorHAnsi" w:cstheme="minorHAnsi"/>
          <w:b/>
          <w:sz w:val="24"/>
          <w:szCs w:val="24"/>
        </w:rPr>
        <w:t xml:space="preserve">econocimiento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a los mejores productos</w:t>
      </w:r>
      <w:r w:rsidRPr="007B24C6">
        <w:rPr>
          <w:rFonts w:asciiTheme="minorHAnsi" w:eastAsia="Times New Roman" w:hAnsiTheme="minorHAnsi" w:cstheme="minorHAnsi"/>
          <w:b/>
          <w:sz w:val="24"/>
          <w:szCs w:val="24"/>
        </w:rPr>
        <w:t xml:space="preserve"> elaborado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s</w:t>
      </w:r>
      <w:r w:rsidRPr="007B24C6">
        <w:rPr>
          <w:rFonts w:asciiTheme="minorHAnsi" w:eastAsia="Times New Roman" w:hAnsiTheme="minorHAnsi" w:cstheme="minorHAnsi"/>
          <w:b/>
          <w:sz w:val="24"/>
          <w:szCs w:val="24"/>
        </w:rPr>
        <w:t xml:space="preserve"> con aceites de oliva</w:t>
      </w:r>
    </w:p>
    <w:p w14:paraId="78591A49" w14:textId="20CDF7AC" w:rsidR="007C69AB" w:rsidRDefault="00F064B8" w:rsidP="007B24C6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</w:pPr>
      <w:r w:rsidRPr="007B24C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 </w:t>
      </w:r>
      <w:r w:rsidR="0014632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(Convocatoria abierta hasta el </w:t>
      </w:r>
      <w:r w:rsid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1</w:t>
      </w:r>
      <w:r w:rsidR="00A7043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1 </w:t>
      </w:r>
      <w:r w:rsidR="00434496" w:rsidRP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de </w:t>
      </w:r>
      <w:r w:rsidR="0014632B" w:rsidRP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febrero</w:t>
      </w:r>
      <w:r w:rsidR="00434496" w:rsidRP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)</w:t>
      </w:r>
    </w:p>
    <w:p w14:paraId="0A09480F" w14:textId="77777777" w:rsidR="00A44F01" w:rsidRPr="007B24C6" w:rsidRDefault="00A44F01" w:rsidP="007B24C6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</w:pPr>
    </w:p>
    <w:p w14:paraId="1C34072B" w14:textId="11B25C8D" w:rsidR="00AE29CF" w:rsidRDefault="00EE2002" w:rsidP="00DD12E3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</w:pPr>
      <w:r w:rsidRPr="00EE2002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1. Premios.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</w:t>
      </w:r>
      <w:r w:rsidR="0076150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La World Olive Oil Exhibition convoca la </w:t>
      </w:r>
      <w:r w:rsidR="00A70432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cuarta</w:t>
      </w:r>
      <w:r w:rsidR="0076150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edición de los </w:t>
      </w:r>
      <w:r w:rsidR="00E45805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Olive Oil Delicatessen Award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. Estos galardones buscan destacar la calidad de aquellos productos que utilizan el aceite de oliva como ingrediente. Se otorgará un galardón por categoría, así como sendos accésits. </w:t>
      </w:r>
    </w:p>
    <w:p w14:paraId="1B8E375E" w14:textId="1942BCB0" w:rsidR="00DD12E3" w:rsidRDefault="00EE2002" w:rsidP="00DD12E3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</w:pPr>
      <w:r w:rsidRPr="00EE2002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2. Jurado y valoración.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El jurado, compuesto por miembros del </w:t>
      </w:r>
      <w:r w:rsidR="001E4035" w:rsidRPr="00F06267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Comité </w:t>
      </w:r>
      <w:r w:rsidR="00F06267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Consultivo </w:t>
      </w:r>
      <w:r w:rsidR="001E4035" w:rsidRPr="00F06267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de</w:t>
      </w:r>
      <w:r w:rsidR="001E4035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la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WOOE, </w:t>
      </w:r>
      <w:r w:rsidR="001E4035" w:rsidRPr="00F06267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valorará los productos t</w:t>
      </w:r>
      <w:r w:rsidR="001E4035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eniendo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en cuenta factores como la innovación</w:t>
      </w:r>
      <w:r w:rsidR="00DD12E3" w:rsidRPr="007B24C6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,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el</w:t>
      </w:r>
      <w:r w:rsidR="00DD12E3" w:rsidRPr="007B24C6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tratamiento dado al aceite de oliva en el proceso de elaboración</w:t>
      </w:r>
      <w:r w:rsidR="00DD12E3" w:rsidRPr="007B24C6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,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los</w:t>
      </w:r>
      <w:r w:rsidR="00DD12E3" w:rsidRPr="007B24C6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beneficios d</w:t>
      </w:r>
      <w:r w:rsidR="00DD12E3" w:rsidRPr="007B24C6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el consumo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/uso del producto o la</w:t>
      </w:r>
      <w:r w:rsidR="00DD12E3" w:rsidRPr="007B24C6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promoción</w:t>
      </w:r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 del aceite de oliva a través </w:t>
      </w:r>
      <w:proofErr w:type="gramStart"/>
      <w:r w:rsidR="00AE29CF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del mismo</w:t>
      </w:r>
      <w:proofErr w:type="gramEnd"/>
      <w:r w:rsidR="00DD12E3" w:rsidRPr="007B24C6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>.</w:t>
      </w:r>
    </w:p>
    <w:p w14:paraId="5D7E34AB" w14:textId="1D2F2EE2" w:rsidR="00AE29CF" w:rsidRPr="00F064B8" w:rsidRDefault="00F064B8" w:rsidP="00DD12E3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  <w:r w:rsidRPr="00F064B8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3. </w:t>
      </w:r>
      <w:r w:rsidR="00AE29CF" w:rsidRPr="00F064B8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Categorías:</w:t>
      </w:r>
    </w:p>
    <w:p w14:paraId="601E3E2D" w14:textId="700D909D" w:rsidR="004B1E60" w:rsidRPr="004B1E60" w:rsidRDefault="004B1E60" w:rsidP="004B1E60">
      <w:pPr>
        <w:pStyle w:val="Prrafodelista"/>
        <w:numPr>
          <w:ilvl w:val="0"/>
          <w:numId w:val="5"/>
        </w:numPr>
        <w:ind w:left="851"/>
        <w:jc w:val="both"/>
        <w:rPr>
          <w:rFonts w:asciiTheme="minorHAnsi" w:eastAsia="Times New Roman" w:hAnsiTheme="minorHAnsi" w:cstheme="minorHAnsi"/>
        </w:rPr>
      </w:pPr>
      <w:r w:rsidRPr="004B1E60">
        <w:rPr>
          <w:rFonts w:asciiTheme="minorHAnsi" w:eastAsia="Times New Roman" w:hAnsiTheme="minorHAnsi" w:cstheme="minorHAnsi"/>
          <w:b/>
          <w:bCs/>
        </w:rPr>
        <w:t>Aceite de oliva como ingrediente principal</w:t>
      </w:r>
      <w:r w:rsidR="001B5EAD" w:rsidRPr="004B1E60">
        <w:rPr>
          <w:rFonts w:asciiTheme="minorHAnsi" w:eastAsia="Times New Roman" w:hAnsiTheme="minorHAnsi" w:cstheme="minorHAnsi"/>
          <w:b/>
          <w:bCs/>
        </w:rPr>
        <w:t>.</w:t>
      </w:r>
      <w:r w:rsidR="00DD12E3" w:rsidRPr="004B1E60">
        <w:rPr>
          <w:rFonts w:asciiTheme="minorHAnsi" w:eastAsia="Times New Roman" w:hAnsiTheme="minorHAnsi" w:cstheme="minorHAnsi"/>
          <w:bCs/>
        </w:rPr>
        <w:t xml:space="preserve"> </w:t>
      </w:r>
      <w:r w:rsidR="001B5EAD" w:rsidRPr="004B1E60">
        <w:rPr>
          <w:rFonts w:asciiTheme="minorHAnsi" w:eastAsia="Times New Roman" w:hAnsiTheme="minorHAnsi" w:cstheme="minorHAnsi"/>
          <w:bCs/>
        </w:rPr>
        <w:t>Productos</w:t>
      </w:r>
      <w:r w:rsidR="00DD12E3" w:rsidRPr="004B1E60">
        <w:rPr>
          <w:rFonts w:asciiTheme="minorHAnsi" w:eastAsia="Times New Roman" w:hAnsiTheme="minorHAnsi" w:cstheme="minorHAnsi"/>
          <w:bCs/>
        </w:rPr>
        <w:t xml:space="preserve"> que</w:t>
      </w:r>
      <w:r w:rsidRPr="004B1E60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>utilicen</w:t>
      </w:r>
      <w:r w:rsidR="00DD12E3" w:rsidRPr="004B1E60">
        <w:rPr>
          <w:rFonts w:asciiTheme="minorHAnsi" w:eastAsia="Times New Roman" w:hAnsiTheme="minorHAnsi" w:cstheme="minorHAnsi"/>
          <w:bCs/>
        </w:rPr>
        <w:t xml:space="preserve"> aceites de oliva en cualquiera de sus categorías como </w:t>
      </w:r>
      <w:r w:rsidRPr="004B1E60">
        <w:rPr>
          <w:rFonts w:asciiTheme="minorHAnsi" w:eastAsia="Times New Roman" w:hAnsiTheme="minorHAnsi" w:cstheme="minorHAnsi"/>
          <w:bCs/>
        </w:rPr>
        <w:t>ingrediente principal</w:t>
      </w:r>
      <w:r w:rsidR="00DD12E3" w:rsidRPr="004B1E60">
        <w:rPr>
          <w:rFonts w:asciiTheme="minorHAnsi" w:eastAsia="Times New Roman" w:hAnsiTheme="minorHAnsi" w:cstheme="minorHAnsi"/>
          <w:bCs/>
        </w:rPr>
        <w:t xml:space="preserve"> del pro</w:t>
      </w:r>
      <w:r w:rsidR="001B5EAD" w:rsidRPr="004B1E60">
        <w:rPr>
          <w:rFonts w:asciiTheme="minorHAnsi" w:eastAsia="Times New Roman" w:hAnsiTheme="minorHAnsi" w:cstheme="minorHAnsi"/>
          <w:bCs/>
        </w:rPr>
        <w:t>ducto, formando parte final del mismo</w:t>
      </w:r>
      <w:r>
        <w:rPr>
          <w:rFonts w:asciiTheme="minorHAnsi" w:eastAsia="Times New Roman" w:hAnsiTheme="minorHAnsi" w:cstheme="minorHAnsi"/>
          <w:bCs/>
        </w:rPr>
        <w:t xml:space="preserve">. </w:t>
      </w:r>
    </w:p>
    <w:p w14:paraId="4824D046" w14:textId="77777777" w:rsidR="004B1E60" w:rsidRPr="004B1E60" w:rsidRDefault="004B1E60" w:rsidP="004B1E60">
      <w:pPr>
        <w:pStyle w:val="Prrafodelista"/>
        <w:ind w:left="851"/>
        <w:jc w:val="both"/>
        <w:rPr>
          <w:rFonts w:asciiTheme="minorHAnsi" w:eastAsia="Times New Roman" w:hAnsiTheme="minorHAnsi" w:cstheme="minorHAnsi"/>
        </w:rPr>
      </w:pPr>
    </w:p>
    <w:p w14:paraId="1C388EEA" w14:textId="5E63CC61" w:rsidR="00DD12E3" w:rsidRPr="004B1E60" w:rsidRDefault="004B1E60" w:rsidP="00D34475">
      <w:pPr>
        <w:pStyle w:val="Prrafodelista"/>
        <w:numPr>
          <w:ilvl w:val="0"/>
          <w:numId w:val="5"/>
        </w:numPr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Aceite de oliva como ingrediente mejorante</w:t>
      </w:r>
      <w:r w:rsidR="001B5EAD" w:rsidRPr="004B1E60">
        <w:rPr>
          <w:rFonts w:asciiTheme="minorHAnsi" w:eastAsia="Times New Roman" w:hAnsiTheme="minorHAnsi" w:cstheme="minorHAnsi"/>
          <w:b/>
          <w:bCs/>
        </w:rPr>
        <w:t>.</w:t>
      </w:r>
      <w:r w:rsidR="00DD12E3" w:rsidRPr="004B1E60">
        <w:rPr>
          <w:rFonts w:asciiTheme="minorHAnsi" w:eastAsia="Times New Roman" w:hAnsiTheme="minorHAnsi" w:cstheme="minorHAnsi"/>
          <w:bCs/>
        </w:rPr>
        <w:t xml:space="preserve"> </w:t>
      </w:r>
      <w:r w:rsidR="001B5EAD" w:rsidRPr="004B1E60">
        <w:rPr>
          <w:rFonts w:asciiTheme="minorHAnsi" w:eastAsia="Times New Roman" w:hAnsiTheme="minorHAnsi" w:cstheme="minorHAnsi"/>
          <w:bCs/>
        </w:rPr>
        <w:t>Productos</w:t>
      </w:r>
      <w:r w:rsidR="00DD12E3" w:rsidRPr="004B1E60">
        <w:rPr>
          <w:rFonts w:asciiTheme="minorHAnsi" w:eastAsia="Times New Roman" w:hAnsiTheme="minorHAnsi" w:cstheme="minorHAnsi"/>
          <w:bCs/>
        </w:rPr>
        <w:t xml:space="preserve"> que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DD12E3" w:rsidRPr="004B1E60">
        <w:rPr>
          <w:rFonts w:asciiTheme="minorHAnsi" w:eastAsia="Times New Roman" w:hAnsiTheme="minorHAnsi" w:cstheme="minorHAnsi"/>
          <w:bCs/>
        </w:rPr>
        <w:t>utilice</w:t>
      </w:r>
      <w:r w:rsidR="00434496" w:rsidRPr="004B1E60">
        <w:rPr>
          <w:rFonts w:asciiTheme="minorHAnsi" w:eastAsia="Times New Roman" w:hAnsiTheme="minorHAnsi" w:cstheme="minorHAnsi"/>
          <w:bCs/>
        </w:rPr>
        <w:t>n</w:t>
      </w:r>
      <w:r>
        <w:rPr>
          <w:rFonts w:asciiTheme="minorHAnsi" w:eastAsia="Times New Roman" w:hAnsiTheme="minorHAnsi" w:cstheme="minorHAnsi"/>
          <w:bCs/>
        </w:rPr>
        <w:t>,</w:t>
      </w:r>
      <w:r w:rsidR="00DD12E3" w:rsidRPr="004B1E60">
        <w:rPr>
          <w:rFonts w:asciiTheme="minorHAnsi" w:eastAsia="Times New Roman" w:hAnsiTheme="minorHAnsi" w:cstheme="minorHAnsi"/>
          <w:bCs/>
        </w:rPr>
        <w:t xml:space="preserve"> dentr</w:t>
      </w:r>
      <w:r>
        <w:rPr>
          <w:rFonts w:asciiTheme="minorHAnsi" w:eastAsia="Times New Roman" w:hAnsiTheme="minorHAnsi" w:cstheme="minorHAnsi"/>
          <w:bCs/>
        </w:rPr>
        <w:t>o del proceso de elaboración,</w:t>
      </w:r>
      <w:r w:rsidR="00DD12E3" w:rsidRPr="004B1E60">
        <w:rPr>
          <w:rFonts w:asciiTheme="minorHAnsi" w:eastAsia="Times New Roman" w:hAnsiTheme="minorHAnsi" w:cstheme="minorHAnsi"/>
          <w:bCs/>
        </w:rPr>
        <w:t xml:space="preserve"> </w:t>
      </w:r>
      <w:bookmarkStart w:id="0" w:name="_Hlk518297147"/>
      <w:r w:rsidR="00DD12E3" w:rsidRPr="004B1E60">
        <w:rPr>
          <w:rFonts w:asciiTheme="minorHAnsi" w:eastAsia="Times New Roman" w:hAnsiTheme="minorHAnsi" w:cstheme="minorHAnsi"/>
          <w:bCs/>
        </w:rPr>
        <w:t xml:space="preserve">aceites de oliva </w:t>
      </w:r>
      <w:r>
        <w:rPr>
          <w:rFonts w:asciiTheme="minorHAnsi" w:eastAsia="Times New Roman" w:hAnsiTheme="minorHAnsi" w:cstheme="minorHAnsi"/>
          <w:bCs/>
        </w:rPr>
        <w:t>en cualquiera de sus categorías</w:t>
      </w:r>
      <w:r w:rsidR="00DD12E3" w:rsidRPr="004B1E60">
        <w:rPr>
          <w:rFonts w:asciiTheme="minorHAnsi" w:eastAsia="Times New Roman" w:hAnsiTheme="minorHAnsi" w:cstheme="minorHAnsi"/>
          <w:bCs/>
        </w:rPr>
        <w:t>.</w:t>
      </w:r>
    </w:p>
    <w:p w14:paraId="1C510D5F" w14:textId="4789D235" w:rsidR="004B1E60" w:rsidRPr="004B1E60" w:rsidRDefault="004B1E60" w:rsidP="004B1E60">
      <w:pPr>
        <w:jc w:val="both"/>
        <w:rPr>
          <w:rFonts w:asciiTheme="minorHAnsi" w:eastAsia="Times New Roman" w:hAnsiTheme="minorHAnsi" w:cstheme="minorHAnsi"/>
        </w:rPr>
      </w:pPr>
    </w:p>
    <w:bookmarkEnd w:id="0"/>
    <w:p w14:paraId="40CF692B" w14:textId="62DA4F3A" w:rsidR="00DD12E3" w:rsidRPr="00EE2002" w:rsidRDefault="004B1E60" w:rsidP="001B5EAD">
      <w:pPr>
        <w:pStyle w:val="Prrafodelista"/>
        <w:numPr>
          <w:ilvl w:val="0"/>
          <w:numId w:val="5"/>
        </w:numPr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Aceite de oliva como elemento de conservación</w:t>
      </w:r>
      <w:r w:rsidR="001B5EAD" w:rsidRPr="007B24C6">
        <w:rPr>
          <w:rFonts w:asciiTheme="minorHAnsi" w:eastAsia="Times New Roman" w:hAnsiTheme="minorHAnsi" w:cstheme="minorHAnsi"/>
          <w:b/>
          <w:bCs/>
        </w:rPr>
        <w:t>.</w:t>
      </w:r>
      <w:r w:rsidR="00DD12E3" w:rsidRPr="007B24C6">
        <w:rPr>
          <w:rFonts w:asciiTheme="minorHAnsi" w:eastAsia="Times New Roman" w:hAnsiTheme="minorHAnsi" w:cstheme="minorHAnsi"/>
        </w:rPr>
        <w:t> </w:t>
      </w:r>
      <w:r w:rsidR="001B5EAD" w:rsidRPr="007B24C6">
        <w:rPr>
          <w:rFonts w:asciiTheme="minorHAnsi" w:eastAsia="Times New Roman" w:hAnsiTheme="minorHAnsi" w:cstheme="minorHAnsi"/>
        </w:rPr>
        <w:t>Productos</w:t>
      </w:r>
      <w:r w:rsidR="00DD12E3" w:rsidRPr="007B24C6">
        <w:rPr>
          <w:rFonts w:asciiTheme="minorHAnsi" w:eastAsia="Times New Roman" w:hAnsiTheme="minorHAnsi" w:cstheme="minorHAnsi"/>
        </w:rPr>
        <w:t xml:space="preserve"> que</w:t>
      </w:r>
      <w:r>
        <w:rPr>
          <w:rFonts w:asciiTheme="minorHAnsi" w:eastAsia="Times New Roman" w:hAnsiTheme="minorHAnsi" w:cstheme="minorHAnsi"/>
        </w:rPr>
        <w:t xml:space="preserve"> utilicen </w:t>
      </w:r>
      <w:r w:rsidR="00DD12E3" w:rsidRPr="007B24C6">
        <w:rPr>
          <w:rFonts w:asciiTheme="minorHAnsi" w:eastAsia="Times New Roman" w:hAnsiTheme="minorHAnsi" w:cstheme="minorHAnsi"/>
          <w:bCs/>
        </w:rPr>
        <w:t>como elemento de conservación u entorno alimenta</w:t>
      </w:r>
      <w:r>
        <w:rPr>
          <w:rFonts w:asciiTheme="minorHAnsi" w:eastAsia="Times New Roman" w:hAnsiTheme="minorHAnsi" w:cstheme="minorHAnsi"/>
          <w:bCs/>
        </w:rPr>
        <w:t>rio</w:t>
      </w:r>
      <w:r w:rsidR="00DD12E3" w:rsidRPr="007B24C6">
        <w:rPr>
          <w:rFonts w:asciiTheme="minorHAnsi" w:eastAsia="Times New Roman" w:hAnsiTheme="minorHAnsi" w:cstheme="minorHAnsi"/>
          <w:bCs/>
        </w:rPr>
        <w:t xml:space="preserve"> aceites de oliva </w:t>
      </w:r>
      <w:r>
        <w:rPr>
          <w:rFonts w:asciiTheme="minorHAnsi" w:eastAsia="Times New Roman" w:hAnsiTheme="minorHAnsi" w:cstheme="minorHAnsi"/>
          <w:bCs/>
        </w:rPr>
        <w:t>en cualquiera de sus categorías</w:t>
      </w:r>
      <w:r w:rsidR="00DD12E3" w:rsidRPr="007B24C6">
        <w:rPr>
          <w:rFonts w:asciiTheme="minorHAnsi" w:eastAsia="Times New Roman" w:hAnsiTheme="minorHAnsi" w:cstheme="minorHAnsi"/>
          <w:bCs/>
        </w:rPr>
        <w:t xml:space="preserve">. </w:t>
      </w:r>
    </w:p>
    <w:p w14:paraId="575A87FB" w14:textId="5065767E" w:rsidR="00EE2002" w:rsidRPr="00EE2002" w:rsidRDefault="00EE2002" w:rsidP="00EE2002">
      <w:pPr>
        <w:jc w:val="both"/>
        <w:rPr>
          <w:rFonts w:asciiTheme="minorHAnsi" w:eastAsia="Times New Roman" w:hAnsiTheme="minorHAnsi" w:cstheme="minorHAnsi"/>
        </w:rPr>
      </w:pPr>
    </w:p>
    <w:p w14:paraId="2FC077F9" w14:textId="55710B71" w:rsidR="00AE29CF" w:rsidRPr="007D4E8B" w:rsidRDefault="00AE29CF" w:rsidP="00EE2002">
      <w:pPr>
        <w:pStyle w:val="Prrafodelista"/>
        <w:numPr>
          <w:ilvl w:val="0"/>
          <w:numId w:val="5"/>
        </w:numPr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Cosméticos y productos de belleza</w:t>
      </w:r>
      <w:r w:rsidR="004B1E60">
        <w:rPr>
          <w:rFonts w:asciiTheme="minorHAnsi" w:eastAsia="Times New Roman" w:hAnsiTheme="minorHAnsi" w:cstheme="minorHAnsi"/>
          <w:b/>
          <w:bCs/>
        </w:rPr>
        <w:t xml:space="preserve">. Productos </w:t>
      </w:r>
      <w:r w:rsidR="00EE2002">
        <w:rPr>
          <w:rFonts w:asciiTheme="minorHAnsi" w:eastAsia="Times New Roman" w:hAnsiTheme="minorHAnsi" w:cstheme="minorHAnsi"/>
          <w:b/>
          <w:bCs/>
        </w:rPr>
        <w:t xml:space="preserve">no alimenticios </w:t>
      </w:r>
      <w:r w:rsidR="004B1E60">
        <w:rPr>
          <w:rFonts w:asciiTheme="minorHAnsi" w:eastAsia="Times New Roman" w:hAnsiTheme="minorHAnsi" w:cstheme="minorHAnsi"/>
          <w:b/>
          <w:bCs/>
        </w:rPr>
        <w:t>que utilicen</w:t>
      </w:r>
      <w:r w:rsidR="004B1E60" w:rsidRPr="004B1E60">
        <w:rPr>
          <w:rFonts w:asciiTheme="minorHAnsi" w:eastAsia="Times New Roman" w:hAnsiTheme="minorHAnsi" w:cstheme="minorHAnsi"/>
          <w:bCs/>
        </w:rPr>
        <w:t xml:space="preserve"> </w:t>
      </w:r>
      <w:r w:rsidR="00EE2002">
        <w:rPr>
          <w:rFonts w:asciiTheme="minorHAnsi" w:eastAsia="Times New Roman" w:hAnsiTheme="minorHAnsi" w:cstheme="minorHAnsi"/>
          <w:bCs/>
        </w:rPr>
        <w:t xml:space="preserve">como ingrediente </w:t>
      </w:r>
      <w:r w:rsidR="004B1E60" w:rsidRPr="004B1E60">
        <w:rPr>
          <w:rFonts w:asciiTheme="minorHAnsi" w:eastAsia="Times New Roman" w:hAnsiTheme="minorHAnsi" w:cstheme="minorHAnsi"/>
          <w:bCs/>
        </w:rPr>
        <w:t xml:space="preserve">aceites de oliva </w:t>
      </w:r>
      <w:r w:rsidR="004B1E60">
        <w:rPr>
          <w:rFonts w:asciiTheme="minorHAnsi" w:eastAsia="Times New Roman" w:hAnsiTheme="minorHAnsi" w:cstheme="minorHAnsi"/>
          <w:bCs/>
        </w:rPr>
        <w:t>en cualquiera de sus categorías</w:t>
      </w:r>
    </w:p>
    <w:p w14:paraId="209FA6DB" w14:textId="77777777" w:rsidR="007D4E8B" w:rsidRPr="007D4E8B" w:rsidRDefault="007D4E8B" w:rsidP="007D4E8B">
      <w:pPr>
        <w:pStyle w:val="Prrafodelista"/>
        <w:rPr>
          <w:rFonts w:asciiTheme="minorHAnsi" w:eastAsia="Times New Roman" w:hAnsiTheme="minorHAnsi" w:cstheme="minorHAnsi"/>
        </w:rPr>
      </w:pPr>
    </w:p>
    <w:p w14:paraId="6CD0C843" w14:textId="00788DB4" w:rsidR="007D4E8B" w:rsidRPr="00EE2002" w:rsidRDefault="007D4E8B" w:rsidP="00EE2002">
      <w:pPr>
        <w:pStyle w:val="Prrafodelista"/>
        <w:numPr>
          <w:ilvl w:val="0"/>
          <w:numId w:val="5"/>
        </w:numPr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Queda abierta a criterio unánime del Comité, dar una </w:t>
      </w:r>
      <w:r w:rsidRPr="007D4E8B">
        <w:rPr>
          <w:rFonts w:asciiTheme="minorHAnsi" w:eastAsia="Times New Roman" w:hAnsiTheme="minorHAnsi" w:cstheme="minorHAnsi"/>
          <w:b/>
        </w:rPr>
        <w:t>mención especial a la Innovación</w:t>
      </w:r>
      <w:r>
        <w:rPr>
          <w:rFonts w:asciiTheme="minorHAnsi" w:eastAsia="Times New Roman" w:hAnsiTheme="minorHAnsi" w:cstheme="minorHAnsi"/>
        </w:rPr>
        <w:t xml:space="preserve"> en el producto elaborado con aceite de oliva, aceituna o vinculación </w:t>
      </w:r>
      <w:r w:rsidR="00F90F01">
        <w:rPr>
          <w:rFonts w:asciiTheme="minorHAnsi" w:eastAsia="Times New Roman" w:hAnsiTheme="minorHAnsi" w:cstheme="minorHAnsi"/>
        </w:rPr>
        <w:t>a cualquier producto del olivo</w:t>
      </w:r>
      <w:r>
        <w:rPr>
          <w:rFonts w:asciiTheme="minorHAnsi" w:eastAsia="Times New Roman" w:hAnsiTheme="minorHAnsi" w:cstheme="minorHAnsi"/>
        </w:rPr>
        <w:t xml:space="preserve"> </w:t>
      </w:r>
      <w:r w:rsidR="00F90F01">
        <w:rPr>
          <w:rFonts w:asciiTheme="minorHAnsi" w:eastAsia="Times New Roman" w:hAnsiTheme="minorHAnsi" w:cstheme="minorHAnsi"/>
        </w:rPr>
        <w:t>(como hoja, raíz, resina, etc.)</w:t>
      </w:r>
      <w:r>
        <w:rPr>
          <w:rFonts w:asciiTheme="minorHAnsi" w:eastAsia="Times New Roman" w:hAnsiTheme="minorHAnsi" w:cstheme="minorHAnsi"/>
        </w:rPr>
        <w:t xml:space="preserve"> siempre y cuando sea de carácter alimentario</w:t>
      </w:r>
      <w:r w:rsidR="00F90F01">
        <w:rPr>
          <w:rFonts w:asciiTheme="minorHAnsi" w:eastAsia="Times New Roman" w:hAnsiTheme="minorHAnsi" w:cstheme="minorHAnsi"/>
        </w:rPr>
        <w:t>.</w:t>
      </w:r>
    </w:p>
    <w:p w14:paraId="70027F5E" w14:textId="77777777" w:rsidR="00DD12E3" w:rsidRPr="007B24C6" w:rsidRDefault="00DD12E3" w:rsidP="00DD12E3">
      <w:pPr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60E45840" w14:textId="7D8BF285" w:rsidR="00DD12E3" w:rsidRPr="007B24C6" w:rsidRDefault="00402504" w:rsidP="000A37D5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s-ES"/>
        </w:rPr>
        <w:lastRenderedPageBreak/>
        <w:t xml:space="preserve">4. Participación y fechas. </w:t>
      </w:r>
      <w:r w:rsidR="00893266" w:rsidRPr="0040250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Estos galardones son de convocatoria abierta</w:t>
      </w:r>
      <w:r w:rsidR="00893266" w:rsidRPr="007B24C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893266" w:rsidRPr="007B24C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y podrá presentarse cualquier </w:t>
      </w:r>
      <w:r w:rsidR="00EE200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producto</w:t>
      </w:r>
      <w:r w:rsidR="00893266" w:rsidRPr="007B24C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 que </w:t>
      </w:r>
      <w:r w:rsidR="00EE200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cumpla</w:t>
      </w:r>
      <w:r w:rsidR="00893266" w:rsidRPr="007B24C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 con los requisitos necesarios para optar al premio.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 El plazo de participación estará abierto hasta el </w:t>
      </w:r>
      <w:r w:rsidR="0082779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11</w:t>
      </w:r>
      <w:r w:rsidR="00F06267" w:rsidRP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 </w:t>
      </w:r>
      <w:r w:rsidR="008902C0" w:rsidRP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de febrero</w:t>
      </w:r>
      <w:r w:rsidR="001F2E30" w:rsidRP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 de 20</w:t>
      </w:r>
      <w:r w:rsidR="00E94BF9" w:rsidRP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2</w:t>
      </w:r>
      <w:r w:rsidR="0082779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2</w:t>
      </w:r>
      <w:r w:rsidR="001F2E30" w:rsidRPr="00F0626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.</w:t>
      </w:r>
    </w:p>
    <w:p w14:paraId="45105DAB" w14:textId="77777777" w:rsidR="00402504" w:rsidRDefault="00893266" w:rsidP="000A37D5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s-ES"/>
        </w:rPr>
      </w:pPr>
      <w:r w:rsidRPr="007B24C6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>Para participar</w:t>
      </w:r>
      <w:r w:rsidR="0040250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es-ES"/>
        </w:rPr>
        <w:t xml:space="preserve"> se deberá enviar un dossier informativo y el producto.</w:t>
      </w:r>
      <w:r w:rsidRPr="007B24C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es-ES"/>
        </w:rPr>
        <w:t xml:space="preserve"> </w:t>
      </w:r>
    </w:p>
    <w:p w14:paraId="261522E7" w14:textId="22EF59E0" w:rsidR="007A692B" w:rsidRPr="00534B24" w:rsidRDefault="00402504" w:rsidP="007A692B">
      <w:pPr>
        <w:pStyle w:val="Prrafodelist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</w:rPr>
        <w:t>El</w:t>
      </w:r>
      <w:r w:rsidR="000A37D5" w:rsidRPr="00402504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dossier</w:t>
      </w:r>
      <w:r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deberá </w:t>
      </w:r>
      <w:r w:rsidRPr="00AC4808">
        <w:rPr>
          <w:rFonts w:asciiTheme="minorHAnsi" w:eastAsia="Times New Roman" w:hAnsiTheme="minorHAnsi" w:cstheme="minorHAnsi"/>
          <w:b/>
          <w:bCs/>
          <w:color w:val="000000" w:themeColor="text1"/>
        </w:rPr>
        <w:t>enviarse al mail</w:t>
      </w:r>
      <w:r w:rsidR="00434496" w:rsidRPr="00AC4808">
        <w:rPr>
          <w:rFonts w:asciiTheme="minorHAnsi" w:hAnsiTheme="minorHAnsi" w:cstheme="minorHAnsi"/>
          <w:b/>
          <w:color w:val="000000" w:themeColor="text1"/>
          <w:lang w:val="es-ES_tradnl" w:eastAsia="es-ES_tradnl"/>
        </w:rPr>
        <w:t xml:space="preserve"> </w:t>
      </w:r>
      <w:hyperlink r:id="rId11" w:history="1">
        <w:r w:rsidR="00534B24" w:rsidRPr="00196F7C">
          <w:rPr>
            <w:rStyle w:val="Hipervnculo"/>
            <w:rFonts w:asciiTheme="minorHAnsi" w:hAnsiTheme="minorHAnsi" w:cstheme="minorHAnsi"/>
            <w:b/>
            <w:lang w:val="es-ES_tradnl" w:eastAsia="es-ES_tradnl"/>
          </w:rPr>
          <w:t>press@oliveoilexhibition.com</w:t>
        </w:r>
      </w:hyperlink>
    </w:p>
    <w:p w14:paraId="210CAF67" w14:textId="3468BB81" w:rsidR="00893266" w:rsidRPr="00AF37CC" w:rsidRDefault="00402504" w:rsidP="00AF37CC">
      <w:pPr>
        <w:pStyle w:val="Prrafodelista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AF37CC">
        <w:rPr>
          <w:rFonts w:asciiTheme="minorHAnsi" w:hAnsiTheme="minorHAnsi" w:cstheme="minorHAnsi"/>
          <w:b/>
          <w:color w:val="000000" w:themeColor="text1"/>
          <w:lang w:val="es-ES_tradnl" w:eastAsia="es-ES_tradnl"/>
        </w:rPr>
        <w:t>y deberá incluir, en no más</w:t>
      </w:r>
      <w:r w:rsidR="00434496" w:rsidRPr="00AF37CC">
        <w:rPr>
          <w:rFonts w:asciiTheme="minorHAnsi" w:hAnsiTheme="minorHAnsi" w:cstheme="minorHAnsi"/>
          <w:b/>
          <w:color w:val="000000" w:themeColor="text1"/>
          <w:lang w:val="es-ES_tradnl" w:eastAsia="es-ES_tradnl"/>
        </w:rPr>
        <w:t xml:space="preserve"> de dos folios:</w:t>
      </w:r>
      <w:r w:rsidR="000A37D5" w:rsidRPr="00AF37C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</w:p>
    <w:p w14:paraId="769171C8" w14:textId="059A78D9" w:rsidR="00893266" w:rsidRPr="007B24C6" w:rsidRDefault="00893266" w:rsidP="0089326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lang w:val="es-ES_tradnl" w:eastAsia="es-ES_tradnl"/>
        </w:rPr>
      </w:pPr>
      <w:r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>D</w:t>
      </w:r>
      <w:r w:rsidR="000A37D5"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>escri</w:t>
      </w:r>
      <w:r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>pción del producto y proceso de elaboración</w:t>
      </w:r>
    </w:p>
    <w:p w14:paraId="58289FE5" w14:textId="0CE43C64" w:rsidR="007B24C6" w:rsidRPr="007B24C6" w:rsidRDefault="007B24C6" w:rsidP="0089326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lang w:val="es-ES_tradnl" w:eastAsia="es-ES_tradnl"/>
        </w:rPr>
      </w:pPr>
      <w:r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>Tipo de aceite de oliva empleado</w:t>
      </w:r>
    </w:p>
    <w:p w14:paraId="5EF2C494" w14:textId="40079208" w:rsidR="00434496" w:rsidRPr="007B24C6" w:rsidRDefault="00402504" w:rsidP="0089326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lang w:val="es-ES_tradnl" w:eastAsia="es-ES_tradnl"/>
        </w:rPr>
      </w:pPr>
      <w:r>
        <w:rPr>
          <w:rFonts w:asciiTheme="minorHAnsi" w:hAnsiTheme="minorHAnsi" w:cstheme="minorHAnsi"/>
          <w:color w:val="000000" w:themeColor="text1"/>
          <w:lang w:val="es-ES_tradnl" w:eastAsia="es-ES_tradnl"/>
        </w:rPr>
        <w:t>Características y/o propiedades</w:t>
      </w:r>
      <w:r w:rsidR="000A37D5"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 xml:space="preserve"> que aporta</w:t>
      </w:r>
      <w:r w:rsidR="007B24C6"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 xml:space="preserve"> el aceite de oliva al producto</w:t>
      </w:r>
    </w:p>
    <w:p w14:paraId="029AC82C" w14:textId="77777777" w:rsidR="00434496" w:rsidRPr="007B24C6" w:rsidRDefault="00434496" w:rsidP="0089326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lang w:val="es-ES_tradnl" w:eastAsia="es-ES_tradnl"/>
        </w:rPr>
      </w:pPr>
      <w:r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>Marca comercial</w:t>
      </w:r>
    </w:p>
    <w:p w14:paraId="2B0C4375" w14:textId="77777777" w:rsidR="00434496" w:rsidRPr="007B24C6" w:rsidRDefault="00434496" w:rsidP="0089326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lang w:val="es-ES_tradnl" w:eastAsia="es-ES_tradnl"/>
        </w:rPr>
      </w:pPr>
      <w:r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>C</w:t>
      </w:r>
      <w:r w:rsidR="000A37D5"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 xml:space="preserve">anal de distribución </w:t>
      </w:r>
    </w:p>
    <w:p w14:paraId="03C5E3F8" w14:textId="711DD86E" w:rsidR="007C69AB" w:rsidRPr="007B24C6" w:rsidRDefault="00402504" w:rsidP="0043449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lang w:val="es-ES_tradnl" w:eastAsia="es-ES_tradnl"/>
        </w:rPr>
      </w:pPr>
      <w:r>
        <w:rPr>
          <w:rFonts w:asciiTheme="minorHAnsi" w:hAnsiTheme="minorHAnsi" w:cstheme="minorHAnsi"/>
          <w:color w:val="000000" w:themeColor="text1"/>
          <w:lang w:val="es-ES_tradnl" w:eastAsia="es-ES_tradnl"/>
        </w:rPr>
        <w:t>Otra i</w:t>
      </w:r>
      <w:r w:rsidR="000A37D5"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 xml:space="preserve">nformación de interés que pueda ayudar a </w:t>
      </w:r>
      <w:r w:rsidR="007B24C6"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>la toma de decisión del jurado</w:t>
      </w:r>
    </w:p>
    <w:p w14:paraId="591CE896" w14:textId="1807062A" w:rsidR="007B24C6" w:rsidRPr="007B24C6" w:rsidRDefault="007B24C6" w:rsidP="0043449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lang w:val="es-ES_tradnl" w:eastAsia="es-ES_tradnl"/>
        </w:rPr>
      </w:pPr>
      <w:r w:rsidRPr="007B24C6">
        <w:rPr>
          <w:rFonts w:asciiTheme="minorHAnsi" w:hAnsiTheme="minorHAnsi" w:cstheme="minorHAnsi"/>
          <w:color w:val="000000" w:themeColor="text1"/>
          <w:lang w:val="es-ES_tradnl" w:eastAsia="es-ES_tradnl"/>
        </w:rPr>
        <w:t>Fotografía del producto</w:t>
      </w:r>
    </w:p>
    <w:p w14:paraId="608443A9" w14:textId="77777777" w:rsidR="007B24C6" w:rsidRPr="007B24C6" w:rsidRDefault="007B24C6" w:rsidP="007B24C6">
      <w:pPr>
        <w:pStyle w:val="Prrafodelista"/>
        <w:jc w:val="both"/>
        <w:rPr>
          <w:rFonts w:asciiTheme="minorHAnsi" w:hAnsiTheme="minorHAnsi" w:cstheme="minorHAnsi"/>
          <w:color w:val="000000" w:themeColor="text1"/>
          <w:lang w:val="es-ES_tradnl" w:eastAsia="es-ES_tradnl"/>
        </w:rPr>
      </w:pPr>
    </w:p>
    <w:p w14:paraId="769DDB39" w14:textId="77029761" w:rsidR="00434496" w:rsidRPr="00AC4808" w:rsidRDefault="00402504" w:rsidP="00402504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00000" w:themeColor="text1"/>
          <w:lang w:val="es-ES_tradnl" w:eastAsia="es-ES_tradnl"/>
        </w:rPr>
      </w:pPr>
      <w:r w:rsidRPr="00AC4808">
        <w:rPr>
          <w:rFonts w:asciiTheme="minorHAnsi" w:hAnsiTheme="minorHAnsi" w:cstheme="minorHAnsi"/>
          <w:b/>
          <w:color w:val="000000" w:themeColor="text1"/>
          <w:lang w:val="es-ES_tradnl" w:eastAsia="es-ES_tradnl"/>
        </w:rPr>
        <w:t>El producto deberá enviarse a la siguiente dirección postal:</w:t>
      </w:r>
    </w:p>
    <w:p w14:paraId="2832DD1D" w14:textId="77777777" w:rsidR="007B24C6" w:rsidRPr="007B24C6" w:rsidRDefault="007B24C6" w:rsidP="00434496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s-ES_tradnl" w:eastAsia="es-ES_tradnl"/>
        </w:rPr>
        <w:sectPr w:rsidR="007B24C6" w:rsidRPr="007B24C6" w:rsidSect="007C69AB">
          <w:headerReference w:type="default" r:id="rId12"/>
          <w:footerReference w:type="default" r:id="rId13"/>
          <w:pgSz w:w="11906" w:h="16838"/>
          <w:pgMar w:top="2127" w:right="1701" w:bottom="1417" w:left="1701" w:header="708" w:footer="708" w:gutter="0"/>
          <w:cols w:space="708"/>
          <w:docGrid w:linePitch="360"/>
        </w:sectPr>
      </w:pPr>
    </w:p>
    <w:p w14:paraId="4EAC99D3" w14:textId="5B16F10B" w:rsidR="00893266" w:rsidRDefault="00402504" w:rsidP="0014632B">
      <w:pPr>
        <w:spacing w:after="0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</w:pPr>
      <w:r w:rsidRPr="00AC4808"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  <w:t>A/A: Concurso Delicatessen</w:t>
      </w:r>
    </w:p>
    <w:p w14:paraId="1A2A1860" w14:textId="19AE5049" w:rsidR="0014632B" w:rsidRDefault="00D04028" w:rsidP="0014632B">
      <w:pPr>
        <w:spacing w:after="0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  <w:t xml:space="preserve">Nave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  <w:t>Enopassió</w:t>
      </w:r>
      <w:r w:rsidR="0014632B"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  <w:t>n</w:t>
      </w:r>
      <w:proofErr w:type="spellEnd"/>
    </w:p>
    <w:p w14:paraId="1336B66D" w14:textId="2E0C849C" w:rsidR="0014632B" w:rsidRDefault="0014632B" w:rsidP="0014632B">
      <w:pPr>
        <w:spacing w:after="0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  <w:t>Calle XV</w:t>
      </w:r>
      <w:r w:rsidR="008902C0"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  <w:t>,</w:t>
      </w:r>
    </w:p>
    <w:p w14:paraId="0FBAD882" w14:textId="25E74552" w:rsidR="0014632B" w:rsidRDefault="0014632B" w:rsidP="0014632B">
      <w:pPr>
        <w:spacing w:after="0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s-ES_tradn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s-ES_tradnl" w:eastAsia="es-ES_tradnl"/>
        </w:rPr>
        <w:t>Parcela R164, Pol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eastAsia="es-ES_tradnl"/>
        </w:rPr>
        <w:t>ígono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eastAsia="es-ES_tradnl"/>
        </w:rPr>
        <w:t xml:space="preserve"> industrial</w:t>
      </w:r>
    </w:p>
    <w:p w14:paraId="0E198599" w14:textId="2042E00B" w:rsidR="0014632B" w:rsidRPr="0014632B" w:rsidRDefault="0014632B" w:rsidP="0014632B">
      <w:pPr>
        <w:spacing w:after="0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s-ES_tradn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s-ES_tradnl"/>
        </w:rPr>
        <w:t>13200, Manzanares, Ciudad Real</w:t>
      </w:r>
    </w:p>
    <w:p w14:paraId="45ACEB9B" w14:textId="5594F6A6" w:rsidR="00575C5F" w:rsidRDefault="001F2E30" w:rsidP="001F2E30">
      <w:pPr>
        <w:pStyle w:val="NormalWeb"/>
        <w:rPr>
          <w:rFonts w:asciiTheme="minorHAnsi" w:hAnsiTheme="minorHAnsi" w:cstheme="minorHAnsi"/>
          <w:color w:val="000000"/>
        </w:rPr>
      </w:pPr>
      <w:r w:rsidRPr="00350E07">
        <w:rPr>
          <w:rFonts w:asciiTheme="minorHAnsi" w:hAnsiTheme="minorHAnsi" w:cstheme="minorHAnsi"/>
          <w:b/>
          <w:color w:val="000000"/>
        </w:rPr>
        <w:t xml:space="preserve">5. </w:t>
      </w:r>
      <w:r w:rsidR="0054563D">
        <w:rPr>
          <w:rFonts w:asciiTheme="minorHAnsi" w:hAnsiTheme="minorHAnsi" w:cstheme="minorHAnsi"/>
          <w:b/>
          <w:color w:val="000000"/>
        </w:rPr>
        <w:t>Entrega de premios</w:t>
      </w:r>
      <w:r w:rsidRPr="00350E07">
        <w:rPr>
          <w:rFonts w:asciiTheme="minorHAnsi" w:hAnsiTheme="minorHAnsi" w:cstheme="minorHAnsi"/>
          <w:b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575C5F">
        <w:rPr>
          <w:rFonts w:asciiTheme="minorHAnsi" w:hAnsiTheme="minorHAnsi" w:cstheme="minorHAnsi"/>
          <w:color w:val="000000"/>
        </w:rPr>
        <w:t xml:space="preserve">La entrega de premios se realizará durante la celebración de la </w:t>
      </w:r>
      <w:r w:rsidR="00575C5F" w:rsidRPr="00F06267">
        <w:rPr>
          <w:rFonts w:asciiTheme="minorHAnsi" w:hAnsiTheme="minorHAnsi" w:cstheme="minorHAnsi"/>
          <w:color w:val="000000"/>
        </w:rPr>
        <w:t xml:space="preserve">World Olive Oil Exhibition que se celebrará en Madrid los días </w:t>
      </w:r>
      <w:r w:rsidR="00827796">
        <w:rPr>
          <w:rFonts w:asciiTheme="minorHAnsi" w:hAnsiTheme="minorHAnsi" w:cstheme="minorHAnsi"/>
          <w:color w:val="000000"/>
        </w:rPr>
        <w:t>8</w:t>
      </w:r>
      <w:r w:rsidR="00F06267" w:rsidRPr="00F06267">
        <w:rPr>
          <w:rFonts w:asciiTheme="minorHAnsi" w:hAnsiTheme="minorHAnsi" w:cstheme="minorHAnsi"/>
          <w:color w:val="000000"/>
        </w:rPr>
        <w:t xml:space="preserve"> y 9</w:t>
      </w:r>
      <w:r w:rsidR="00E94BF9" w:rsidRPr="00F06267">
        <w:rPr>
          <w:rFonts w:asciiTheme="minorHAnsi" w:hAnsiTheme="minorHAnsi" w:cstheme="minorHAnsi"/>
          <w:color w:val="000000"/>
        </w:rPr>
        <w:t xml:space="preserve"> de marzo de 202</w:t>
      </w:r>
      <w:r w:rsidR="00827796">
        <w:rPr>
          <w:rFonts w:asciiTheme="minorHAnsi" w:hAnsiTheme="minorHAnsi" w:cstheme="minorHAnsi"/>
          <w:color w:val="000000"/>
        </w:rPr>
        <w:t>2</w:t>
      </w:r>
      <w:r w:rsidR="00575C5F" w:rsidRPr="00F06267">
        <w:rPr>
          <w:rFonts w:asciiTheme="minorHAnsi" w:hAnsiTheme="minorHAnsi" w:cstheme="minorHAnsi"/>
          <w:color w:val="000000"/>
        </w:rPr>
        <w:t>.</w:t>
      </w:r>
    </w:p>
    <w:p w14:paraId="6829039B" w14:textId="620660B5" w:rsidR="00575C5F" w:rsidRDefault="00575C5F" w:rsidP="001F2E3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Los productos ganadores serán expuestos en un espacio preferencial dentro del área Delicatessen </w:t>
      </w:r>
      <w:proofErr w:type="spellStart"/>
      <w:r>
        <w:rPr>
          <w:rFonts w:asciiTheme="minorHAnsi" w:hAnsiTheme="minorHAnsi" w:cstheme="minorHAnsi"/>
          <w:color w:val="000000"/>
        </w:rPr>
        <w:t>with</w:t>
      </w:r>
      <w:proofErr w:type="spellEnd"/>
      <w:r>
        <w:rPr>
          <w:rFonts w:asciiTheme="minorHAnsi" w:hAnsiTheme="minorHAnsi" w:cstheme="minorHAnsi"/>
          <w:color w:val="000000"/>
        </w:rPr>
        <w:t xml:space="preserve"> Olive Oil durante la WOOE.</w:t>
      </w:r>
    </w:p>
    <w:p w14:paraId="649E258E" w14:textId="77777777" w:rsidR="000A37D5" w:rsidRPr="00E317F5" w:rsidRDefault="000A37D5" w:rsidP="000A37D5">
      <w:pPr>
        <w:jc w:val="both"/>
        <w:rPr>
          <w:rFonts w:asciiTheme="minorHAnsi" w:hAnsiTheme="minorHAnsi" w:cs="Arial"/>
          <w:sz w:val="24"/>
          <w:szCs w:val="24"/>
        </w:rPr>
      </w:pPr>
    </w:p>
    <w:p w14:paraId="3E1C4442" w14:textId="31628F26" w:rsidR="0046298D" w:rsidRDefault="007B24C6" w:rsidP="00321CB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Para más información:</w:t>
      </w:r>
    </w:p>
    <w:p w14:paraId="2D1A81DE" w14:textId="0C306AD4" w:rsidR="007B24C6" w:rsidRDefault="00E45805" w:rsidP="00321CB7">
      <w:pPr>
        <w:spacing w:after="0"/>
        <w:jc w:val="center"/>
        <w:rPr>
          <w:rFonts w:asciiTheme="minorHAnsi" w:hAnsiTheme="minorHAnsi"/>
        </w:rPr>
      </w:pPr>
      <w:hyperlink r:id="rId14" w:history="1">
        <w:r w:rsidR="007A692B" w:rsidRPr="00196F7C">
          <w:rPr>
            <w:rStyle w:val="Hipervnculo"/>
            <w:rFonts w:asciiTheme="minorHAnsi" w:hAnsiTheme="minorHAnsi"/>
          </w:rPr>
          <w:t>press@oliveoilexhibition.com</w:t>
        </w:r>
      </w:hyperlink>
    </w:p>
    <w:p w14:paraId="25418EDE" w14:textId="130E3BCF" w:rsidR="001A5F60" w:rsidRPr="00575C5F" w:rsidRDefault="00A44F01" w:rsidP="00575C5F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+34 91 600 39 98</w:t>
      </w:r>
      <w:r w:rsidR="007A692B">
        <w:rPr>
          <w:rFonts w:asciiTheme="minorHAnsi" w:hAnsiTheme="minorHAnsi"/>
        </w:rPr>
        <w:br/>
      </w:r>
      <w:r w:rsidR="000D04BF">
        <w:rPr>
          <w:rFonts w:asciiTheme="minorHAnsi" w:hAnsiTheme="minorHAnsi"/>
        </w:rPr>
        <w:t xml:space="preserve">696 79 07 </w:t>
      </w:r>
      <w:r w:rsidR="00534B24">
        <w:rPr>
          <w:rFonts w:asciiTheme="minorHAnsi" w:hAnsiTheme="minorHAnsi"/>
        </w:rPr>
        <w:t>47</w:t>
      </w:r>
    </w:p>
    <w:sectPr w:rsidR="001A5F60" w:rsidRPr="00575C5F" w:rsidSect="007B24C6">
      <w:footerReference w:type="default" r:id="rId15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AC92" w14:textId="77777777" w:rsidR="008E5EBD" w:rsidRDefault="008E5EBD" w:rsidP="00EE5ED0">
      <w:pPr>
        <w:spacing w:after="0" w:line="240" w:lineRule="auto"/>
      </w:pPr>
      <w:r>
        <w:separator/>
      </w:r>
    </w:p>
  </w:endnote>
  <w:endnote w:type="continuationSeparator" w:id="0">
    <w:p w14:paraId="05B17C40" w14:textId="77777777" w:rsidR="008E5EBD" w:rsidRDefault="008E5EBD" w:rsidP="00EE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3BE9457" w14:paraId="24C9E425" w14:textId="77777777" w:rsidTr="63BE9457">
      <w:tc>
        <w:tcPr>
          <w:tcW w:w="2835" w:type="dxa"/>
        </w:tcPr>
        <w:p w14:paraId="354D2AA2" w14:textId="07333C2E" w:rsidR="63BE9457" w:rsidRDefault="63BE9457" w:rsidP="63BE9457">
          <w:pPr>
            <w:pStyle w:val="Encabezado"/>
            <w:ind w:left="-115"/>
          </w:pPr>
        </w:p>
      </w:tc>
      <w:tc>
        <w:tcPr>
          <w:tcW w:w="2835" w:type="dxa"/>
        </w:tcPr>
        <w:p w14:paraId="3519EDCA" w14:textId="2415F890" w:rsidR="63BE9457" w:rsidRDefault="63BE9457" w:rsidP="63BE9457">
          <w:pPr>
            <w:pStyle w:val="Encabezado"/>
            <w:jc w:val="center"/>
          </w:pPr>
        </w:p>
      </w:tc>
      <w:tc>
        <w:tcPr>
          <w:tcW w:w="2835" w:type="dxa"/>
        </w:tcPr>
        <w:p w14:paraId="0A214859" w14:textId="2ADA4946" w:rsidR="63BE9457" w:rsidRDefault="63BE9457" w:rsidP="63BE9457">
          <w:pPr>
            <w:pStyle w:val="Encabezado"/>
            <w:ind w:right="-115"/>
            <w:jc w:val="right"/>
          </w:pPr>
        </w:p>
      </w:tc>
    </w:tr>
  </w:tbl>
  <w:p w14:paraId="14B24005" w14:textId="28CAEF01" w:rsidR="63BE9457" w:rsidRDefault="63BE9457" w:rsidP="63BE94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3BE9457" w14:paraId="075FF21E" w14:textId="77777777" w:rsidTr="63BE9457">
      <w:tc>
        <w:tcPr>
          <w:tcW w:w="2835" w:type="dxa"/>
        </w:tcPr>
        <w:p w14:paraId="7AD4C1B9" w14:textId="290F90BF" w:rsidR="63BE9457" w:rsidRDefault="63BE9457" w:rsidP="63BE9457">
          <w:pPr>
            <w:pStyle w:val="Encabezado"/>
            <w:ind w:left="-115"/>
          </w:pPr>
        </w:p>
      </w:tc>
      <w:tc>
        <w:tcPr>
          <w:tcW w:w="2835" w:type="dxa"/>
        </w:tcPr>
        <w:p w14:paraId="227989BD" w14:textId="36FEF283" w:rsidR="63BE9457" w:rsidRDefault="63BE9457" w:rsidP="63BE9457">
          <w:pPr>
            <w:pStyle w:val="Encabezado"/>
            <w:jc w:val="center"/>
          </w:pPr>
        </w:p>
      </w:tc>
      <w:tc>
        <w:tcPr>
          <w:tcW w:w="2835" w:type="dxa"/>
        </w:tcPr>
        <w:p w14:paraId="290C51D5" w14:textId="57C0CD16" w:rsidR="63BE9457" w:rsidRDefault="63BE9457" w:rsidP="63BE9457">
          <w:pPr>
            <w:pStyle w:val="Encabezado"/>
            <w:ind w:right="-115"/>
            <w:jc w:val="right"/>
          </w:pPr>
        </w:p>
      </w:tc>
    </w:tr>
  </w:tbl>
  <w:p w14:paraId="0ABCDE5A" w14:textId="43FD4F72" w:rsidR="63BE9457" w:rsidRDefault="63BE9457" w:rsidP="63BE9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77D5" w14:textId="77777777" w:rsidR="008E5EBD" w:rsidRDefault="008E5EBD" w:rsidP="00EE5ED0">
      <w:pPr>
        <w:spacing w:after="0" w:line="240" w:lineRule="auto"/>
      </w:pPr>
      <w:r>
        <w:separator/>
      </w:r>
    </w:p>
  </w:footnote>
  <w:footnote w:type="continuationSeparator" w:id="0">
    <w:p w14:paraId="74D3AD46" w14:textId="77777777" w:rsidR="008E5EBD" w:rsidRDefault="008E5EBD" w:rsidP="00EE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03E6" w14:textId="4F1A8AB4" w:rsidR="00403A4B" w:rsidRDefault="00403A4B" w:rsidP="00F95116">
    <w:pPr>
      <w:pStyle w:val="Encabezado"/>
      <w:jc w:val="right"/>
    </w:pPr>
    <w:r>
      <w:rPr>
        <w:noProof/>
      </w:rPr>
      <w:drawing>
        <wp:inline distT="0" distB="0" distL="0" distR="0" wp14:anchorId="5087A0D0" wp14:editId="30BB8460">
          <wp:extent cx="1310005" cy="434370"/>
          <wp:effectExtent l="0" t="0" r="4445" b="3810"/>
          <wp:docPr id="20248060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43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64A08" w14:textId="5B28424A" w:rsidR="00EE5ED0" w:rsidRDefault="00EE5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ACC"/>
    <w:multiLevelType w:val="hybridMultilevel"/>
    <w:tmpl w:val="8CD66166"/>
    <w:lvl w:ilvl="0" w:tplc="E09A3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7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3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02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2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C4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A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A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C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95EF7"/>
    <w:multiLevelType w:val="hybridMultilevel"/>
    <w:tmpl w:val="F15E3F1C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392F55"/>
    <w:multiLevelType w:val="hybridMultilevel"/>
    <w:tmpl w:val="0E96E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CC9"/>
    <w:multiLevelType w:val="hybridMultilevel"/>
    <w:tmpl w:val="84563A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5B37"/>
    <w:multiLevelType w:val="hybridMultilevel"/>
    <w:tmpl w:val="7F2A08FE"/>
    <w:lvl w:ilvl="0" w:tplc="B3487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15E"/>
    <w:multiLevelType w:val="hybridMultilevel"/>
    <w:tmpl w:val="93BE4DF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U0tDQzMjEyNLJU0lEKTi0uzszPAykwqgUAtVIEdCwAAAA="/>
  </w:docVars>
  <w:rsids>
    <w:rsidRoot w:val="00717758"/>
    <w:rsid w:val="00033F19"/>
    <w:rsid w:val="000357E0"/>
    <w:rsid w:val="00080CE0"/>
    <w:rsid w:val="0008159E"/>
    <w:rsid w:val="0008753B"/>
    <w:rsid w:val="00091438"/>
    <w:rsid w:val="00096140"/>
    <w:rsid w:val="000A37D5"/>
    <w:rsid w:val="000D04BF"/>
    <w:rsid w:val="000E7C51"/>
    <w:rsid w:val="000F448B"/>
    <w:rsid w:val="000F79A4"/>
    <w:rsid w:val="00131FEF"/>
    <w:rsid w:val="0013283B"/>
    <w:rsid w:val="00142719"/>
    <w:rsid w:val="0014416B"/>
    <w:rsid w:val="0014632B"/>
    <w:rsid w:val="001A0977"/>
    <w:rsid w:val="001A5F60"/>
    <w:rsid w:val="001B0509"/>
    <w:rsid w:val="001B5C34"/>
    <w:rsid w:val="001B5EAD"/>
    <w:rsid w:val="001D071C"/>
    <w:rsid w:val="001E4035"/>
    <w:rsid w:val="001F2E30"/>
    <w:rsid w:val="0023042D"/>
    <w:rsid w:val="00251D9C"/>
    <w:rsid w:val="00283E7F"/>
    <w:rsid w:val="002C3AAF"/>
    <w:rsid w:val="002C7C1E"/>
    <w:rsid w:val="002D0DBF"/>
    <w:rsid w:val="002E6351"/>
    <w:rsid w:val="00321CB7"/>
    <w:rsid w:val="00350E07"/>
    <w:rsid w:val="00396B63"/>
    <w:rsid w:val="003B001D"/>
    <w:rsid w:val="00402504"/>
    <w:rsid w:val="00403A4B"/>
    <w:rsid w:val="00404681"/>
    <w:rsid w:val="004068CD"/>
    <w:rsid w:val="004146FF"/>
    <w:rsid w:val="00434496"/>
    <w:rsid w:val="004410EF"/>
    <w:rsid w:val="0044620A"/>
    <w:rsid w:val="0046298D"/>
    <w:rsid w:val="00470507"/>
    <w:rsid w:val="004821C7"/>
    <w:rsid w:val="0048502D"/>
    <w:rsid w:val="004A4366"/>
    <w:rsid w:val="004B1E60"/>
    <w:rsid w:val="00500D4D"/>
    <w:rsid w:val="00534B24"/>
    <w:rsid w:val="0054563D"/>
    <w:rsid w:val="00575C5F"/>
    <w:rsid w:val="005A42D6"/>
    <w:rsid w:val="005C6851"/>
    <w:rsid w:val="005E2329"/>
    <w:rsid w:val="006234C3"/>
    <w:rsid w:val="006E1AC3"/>
    <w:rsid w:val="007039B6"/>
    <w:rsid w:val="00717758"/>
    <w:rsid w:val="00744761"/>
    <w:rsid w:val="0076150F"/>
    <w:rsid w:val="007760DA"/>
    <w:rsid w:val="007775A5"/>
    <w:rsid w:val="007961AC"/>
    <w:rsid w:val="007A49BC"/>
    <w:rsid w:val="007A692B"/>
    <w:rsid w:val="007B24C6"/>
    <w:rsid w:val="007C5480"/>
    <w:rsid w:val="007C69AB"/>
    <w:rsid w:val="007D4E8B"/>
    <w:rsid w:val="007E03A7"/>
    <w:rsid w:val="007F5253"/>
    <w:rsid w:val="00807941"/>
    <w:rsid w:val="00827796"/>
    <w:rsid w:val="008317EB"/>
    <w:rsid w:val="008508C2"/>
    <w:rsid w:val="008902C0"/>
    <w:rsid w:val="00893266"/>
    <w:rsid w:val="008B28C6"/>
    <w:rsid w:val="008E5EBD"/>
    <w:rsid w:val="009073F0"/>
    <w:rsid w:val="00953856"/>
    <w:rsid w:val="00954180"/>
    <w:rsid w:val="0096474D"/>
    <w:rsid w:val="009963CC"/>
    <w:rsid w:val="009A4DCA"/>
    <w:rsid w:val="009D005A"/>
    <w:rsid w:val="009E5660"/>
    <w:rsid w:val="009F073D"/>
    <w:rsid w:val="009F75DE"/>
    <w:rsid w:val="00A44F01"/>
    <w:rsid w:val="00A70432"/>
    <w:rsid w:val="00A974F0"/>
    <w:rsid w:val="00AC4808"/>
    <w:rsid w:val="00AD3D75"/>
    <w:rsid w:val="00AE0430"/>
    <w:rsid w:val="00AE29CF"/>
    <w:rsid w:val="00AF1294"/>
    <w:rsid w:val="00AF37CC"/>
    <w:rsid w:val="00B36908"/>
    <w:rsid w:val="00B40C58"/>
    <w:rsid w:val="00B74BF5"/>
    <w:rsid w:val="00B95163"/>
    <w:rsid w:val="00BC33E8"/>
    <w:rsid w:val="00C121D8"/>
    <w:rsid w:val="00C74579"/>
    <w:rsid w:val="00CD2C04"/>
    <w:rsid w:val="00D04028"/>
    <w:rsid w:val="00D061EB"/>
    <w:rsid w:val="00D06628"/>
    <w:rsid w:val="00D267D7"/>
    <w:rsid w:val="00D50922"/>
    <w:rsid w:val="00D52E4D"/>
    <w:rsid w:val="00D66413"/>
    <w:rsid w:val="00DA59AD"/>
    <w:rsid w:val="00DB652E"/>
    <w:rsid w:val="00DD12E3"/>
    <w:rsid w:val="00E26D9D"/>
    <w:rsid w:val="00E45805"/>
    <w:rsid w:val="00E629ED"/>
    <w:rsid w:val="00E94BF9"/>
    <w:rsid w:val="00EA13B7"/>
    <w:rsid w:val="00EE2002"/>
    <w:rsid w:val="00EE5ED0"/>
    <w:rsid w:val="00F06003"/>
    <w:rsid w:val="00F06267"/>
    <w:rsid w:val="00F064B8"/>
    <w:rsid w:val="00F06879"/>
    <w:rsid w:val="00F6313F"/>
    <w:rsid w:val="00F67AD1"/>
    <w:rsid w:val="00F70A32"/>
    <w:rsid w:val="00F8613C"/>
    <w:rsid w:val="00F90F01"/>
    <w:rsid w:val="00F95116"/>
    <w:rsid w:val="00FE3A35"/>
    <w:rsid w:val="63BE9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6F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1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7C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7C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C7C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C7C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321CB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5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ED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E5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ED0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5A4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31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F1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43449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1D071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A4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A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@oliveoilexhibiti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@oliveoilexhibi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2CF2053678B249849808E2C45A534A" ma:contentTypeVersion="10" ma:contentTypeDescription="Crear nuevo documento." ma:contentTypeScope="" ma:versionID="8d5e3d04b8bb43caa548524abacd25d6">
  <xsd:schema xmlns:xsd="http://www.w3.org/2001/XMLSchema" xmlns:xs="http://www.w3.org/2001/XMLSchema" xmlns:p="http://schemas.microsoft.com/office/2006/metadata/properties" xmlns:ns2="01bc95be-15c1-4d38-ac92-6018fd72b776" xmlns:ns3="01e09c4a-8242-4b24-8bc0-362944322797" targetNamespace="http://schemas.microsoft.com/office/2006/metadata/properties" ma:root="true" ma:fieldsID="4d755d040edd88e225730e536315010b" ns2:_="" ns3:_="">
    <xsd:import namespace="01bc95be-15c1-4d38-ac92-6018fd72b776"/>
    <xsd:import namespace="01e09c4a-8242-4b24-8bc0-362944322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95be-15c1-4d38-ac92-6018fd72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09c4a-8242-4b24-8bc0-362944322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8A759-1DAB-45F3-9E28-D9FFF3FE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95be-15c1-4d38-ac92-6018fd72b776"/>
    <ds:schemaRef ds:uri="01e09c4a-8242-4b24-8bc0-362944322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BB661-DA33-4D22-A273-571E360C9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CBB69-0707-4F62-88AD-42CA497635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941256-95DB-4985-AD42-F5FEB1B4B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Orriols Montero</cp:lastModifiedBy>
  <cp:revision>10</cp:revision>
  <cp:lastPrinted>2018-07-06T12:02:00Z</cp:lastPrinted>
  <dcterms:created xsi:type="dcterms:W3CDTF">2021-12-15T08:49:00Z</dcterms:created>
  <dcterms:modified xsi:type="dcterms:W3CDTF">2022-01-10T17:24:00Z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0x0101000D2CF2053678B249849808E2C45A534A</vt:lpwstr>
  </property>
</Properties>
</file>